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5" w:tblpY="3097"/>
        <w:tblOverlap w:val="never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56"/>
        <w:gridCol w:w="5982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评审要素</w:t>
            </w:r>
          </w:p>
        </w:tc>
        <w:tc>
          <w:tcPr>
            <w:tcW w:w="59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一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5982" w:type="dxa"/>
            <w:vAlign w:val="center"/>
          </w:tcPr>
          <w:p>
            <w:pP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1）经甄别确认，满足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招募公告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资料齐全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二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资质评价</w:t>
            </w:r>
          </w:p>
        </w:tc>
        <w:tc>
          <w:tcPr>
            <w:tcW w:w="598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根据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综合能力，是否满足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项目承接方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资质的要求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三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方案及响应程度</w:t>
            </w:r>
          </w:p>
        </w:tc>
        <w:tc>
          <w:tcPr>
            <w:tcW w:w="5982" w:type="dxa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根据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提供的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方案的科学性、合理性、完整性、可操作性等进行评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定。（20分）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类似业绩</w:t>
            </w:r>
          </w:p>
        </w:tc>
        <w:tc>
          <w:tcPr>
            <w:tcW w:w="5982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5）提供近三年与机关单位合作的类似项目业绩（提供合同关键页复印件）。（15分）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服务评价</w:t>
            </w:r>
          </w:p>
        </w:tc>
        <w:tc>
          <w:tcPr>
            <w:tcW w:w="5982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对服务态度、服务质量、信息公开、社会影响力和诚信度等的评价。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总计</w:t>
            </w:r>
          </w:p>
        </w:tc>
        <w:tc>
          <w:tcPr>
            <w:tcW w:w="5982" w:type="dxa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评分表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2"/>
          <w:lang w:val="en-US" w:eastAsia="zh-CN"/>
        </w:rPr>
        <w:t>单位：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E34A5"/>
    <w:rsid w:val="330E34A5"/>
    <w:rsid w:val="342C7618"/>
    <w:rsid w:val="45F653D4"/>
    <w:rsid w:val="4B8E16C4"/>
    <w:rsid w:val="740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2021-01-22T01:03:00Z</dcterms:created>
  <dc:creator>luyan5</dc:creator>
  <cp:lastModifiedBy>ONLY じòぴé﹉</cp:lastModifiedBy>
  <cp:lastPrinted>2022-01-04T02:01:44Z</cp:lastPrinted>
  <dcterms:modified xsi:type="dcterms:W3CDTF">2022-01-04T02:01:49Z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